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2016/410 + IV 2016/430 vom 24. Juni 1998</w:t>
      </w:r>
    </w:p>
    <w:p>
      <w:r>
        <w:t>Sg Versicherungsgericht, 1998-06-24, DE</w:t>
      </w:r>
    </w:p>
    <w:p>
      <w:r>
        <w:rPr>
          <w:b/>
        </w:rPr>
        <w:t xml:space="preserve">Quelle: </w:t>
      </w:r>
      <w:r>
        <w:t>https://mcp.opencaselaw.ch/entscheid/sg_publikationen_IV 2016_410 + IV 2016_430</w:t>
      </w:r>
    </w:p>
    <w:p>
      <w:r>
        <w:t>FR: SG_VERSICHERUNGSGERICHT IV 2016/410 + IV 2016/430 du 24 juin 1998</w:t>
      </w:r>
    </w:p>
    <w:p>
      <w:r>
        <w:t>IT: SG_VERSICHERUNGSGERICHT IV 2016/410 + IV 2016/430 del 24 giugno 1998</w:t>
      </w:r>
    </w:p>
    <w:p>
      <w:pPr>
        <w:pStyle w:val="Heading2"/>
      </w:pPr>
      <w:r>
        <w:t>Regeste</w:t>
      </w:r>
    </w:p>
    <w:p>
      <w:r>
        <w:t>Art. 16 ATSG, Art. 44 ATSG: Erforderlichkeit eines polydisziplinären Gutachtens bzw. eines Konsensverfahrens. Bei mono- oder bidisziplinären Gutachten ist ein Einigungsverfahren nur erforderlich, wenn die versicherte Person gegen die vorgesehene Begutachtung oder Gutachter Einwendungen erhoben hat. Ein Tabellenlohnabzug in statistisch ermittelter Höhe aufgrund des Aufenthaltsstatus der versicherten Person ist nicht angezeigt, wenn die betreffende Person vor Eintritt des Gesundheitsschadens jahrelang in der Schweiz lebte und ein nahezu durchschnittliches Einkommen erzielte (Entscheid des Versicherungsgerichts des Kantons St. Gallen vom 19. November 2018, IV 2016/410 und IV 2016/430).</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1 des Bundesgesetzes über die Invalidenversicherung (IVG; SR 831.20) haben Versicherte Anspruch auf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ab einem Invaliditätsgrad von mindestens 70 % auf eine ganze Invalidenrente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1.4  Muss der Versicherungsträger zur Abklärung des Sachverhaltes ein Gutachten einer oder eines unabhängigen Sachverständigen einholen, so gibt er der Partei deren oder dessen Namen bekannt. Diese kann den Gutachter aus triftigen Gründen ablehnen und Gegenvorschläge machen (Art. 44 ATSG). Medizinische Gutachten, an denen drei oder mehr Fachdisziplinen beteiligt sind, haben bei einer Gutachterstelle zu erfolgen, mit welcher das Bundesamt eine Vereinbarung getroffen hat. Die Vergabe der Aufträge erfolgt nach dem Zufallsprinzip (Art. 72bis Abs. 1 und 2 der Verordnung über die Invalidenversicherung [IVV; SR 831.201]). 1.5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1.6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Die Beschwerdeführerin macht in formeller Hinsicht zunächst geltend, die Gutachtensvergabe hätte zwingend einen Einigungsversuch vorausgesetzt bzw. es wäre aufgrund der multiplen gesundheitlichen Probleme eine polydisziplinäre Begutachtung erforderlich gewesen.</w:t>
      </w:r>
    </w:p>
    <w:p>
      <w:r>
        <w:rPr>
          <w:b/>
        </w:rPr>
        <w:t>E. 2.1</w:t>
      </w:r>
    </w:p>
    <w:p>
      <w:r>
        <w:t>2.1.1  Gemäss bundesgerichtlicher Rechtsprechung existieren keine festen Kriterien zur allgemeingültigen Abgrenzung, wann ein polydisziplinäres Gutachten erforderlich ist. Die umfassende administrative Erstbegutachtung werde jedoch regelmässig polydisziplinär und damit zufallsbasiert anzulegen sein. In begründeten Fällen könne von einer polydisziplinären Begutachtung abgesehen und eine mono- oder bidisziplinäre durchgeführt werden, sofern die medizinische Situation offenkundig ausschliesslich ein oder zwei Fachgebiete beschlage; weder dürften weitere interdisziplinäre Bezüge (z.B. internistischer Art) notwendig sein, noch dürfe ein besonderer arbeitsmedizinischer bzw. eingliederungsbezogener Klärungsbedarf bestehen (BGE 139 V 352, E. 3.2). 2.1.2  Die Auswahl der medizinischen Disziplinen Psychiatrie und Orthopädie erfolgte durch die RAD-Psychiaterin. Sie nahm damit zu einem Arztbericht des behandelnden Psychiaters Dr. G.___ vom 27. April 2015 (IV-act. 108) Stellung, dessen Diagnosen sich anhand der Befunde nicht ohne weiteres nachvollziehen liessen. Zudem würden keine Überlegungen bezüglich einer somatoformen Störung oder Schmerzverarbeitungsstörung deutlich (RAD-Stellungnahme vom 19. Mai 2015, IV-act. 113-2). Kreisärztin med.pract. M.___, Fachärztin für Chirurgie, hatte am 16. Januar 2014 Stellung genommen, die aktuell noch geklagten Beschwerden seien nicht überwiegend wahrscheinlich auf die Fraktur bzw. den Unfall vom 25. Oktober 2012 zurückzuführen. Sie korrelierten nicht mit den Beschwerden, die eigentlich zu erwarten wären. Vor allem seien die ausstrahlenden Schmerzen in die Beine nicht erklärbar. Ausserdem sei die Fraktur durchbaut und reichere auch in der Szintigraphie nicht mehr an (Suva-act. 11-10). Somit war nunmehr von einer vorwiegend nicht somatischen Ursache der Beschwerden auszugehen. In Anbetracht dieser Gründe für die Begutachtung erscheint nachvollziehbar, dass diese auf das psychiatrische und orthopädische Fachgebiet beschränkt wurde. Weder der Psychiatrie noch der Orthopädie zuzuordnen sind die bereits vorbestehende Nickel-/Kobaltallergie sowie die Eisenanämie. Erstere ist bezüglich ihrer Auswirkungen auf die Arbeitsfähigkeit hinreichend abgeklärt, indem der Beschwerdeführerin Tätigkeiten mit Kontakt zu den entsprechenden Substanzen nicht mehr zumutbar sind (Nichteignungsverfügung der Suva vom 22. August 1997, Suva-act. 1-1). Dass sich die Allergie lediglich auf die Art der zumutbaren Arbeit und nicht auf das zumutbare Arbeitspensum auswirkt, leuchtet ohne weiteres ein, weshalb diesbezüglich vom Beizug eines dermatologischen Gutachters abgesehen werden durfte. Hinsichtlich des Eisenmangels erübrigen sich weitere Abklärungen, da dieser substituiert wird (vgl. vorläufiger Bericht Palliativ- Schmerzsprechstunde Spital B.___ vom 21. November 2013, IV-act. 84-35). Es wird insbesondere auch nicht dargetan oder ist ersichtlich, dass die Beschwerdegegnerin mit der Anordnung des bidisziplinären Gutachtens das zufallsbasierte Zuweisungssystem umgehen wollte (vgl. BGE 139 V 357, E. 5.4). Schliesslich obläge es den Gutachtern, die durch den RAD bzw. die IV-Stelle getroffene Auswahl der Disziplinen gegebenenfalls in Frage zu stellen (BGE 139 V 348 f., E. 3.3). Bei der gegebenen Aktenlage durfte die Beschwerdegegnerin somit ein bidisziplinäres Gutachten anordnen, und es stellt sich zusätzlich die Frage nach dem Erfordernis eines konsensualen Vorgehens.</w:t>
      </w:r>
    </w:p>
    <w:p>
      <w:r>
        <w:rPr>
          <w:b/>
        </w:rPr>
        <w:t>E. 2.2</w:t>
      </w:r>
    </w:p>
    <w:p>
      <w:r>
        <w:t>2.2.1  Das der Begutachtung vorangehende Verfahren läuft rechtsprechungsgemäss wie folgt ab: In einem ersten Schritt teilt die IV-Stelle der versicherten Person mit, dass eine Expertise eingeholt werden soll und gibt die vorgesehenen Fachdisziplinen und Gutachterfragen bekannt. Die versicherte Person kann erst einmal (nicht personenbezogene) materielle Einwendungen gegen eine Begutachtung an sich oder gegen Art und Umfang der Begutachtung vorbringen. In einem zweiten Schritt werden die Namen der Sachverständigen mit jeweiligem Facharzttitel mitgeteilt. Damit kommt die Möglichkeit (materieller oder formeller) personenbezogener Einwendungen hinzu. Bei mono- und bidisziplinären Begutachtungen ist im Falle erhobener zulässiger Einwendungen konsensorientiert vorzugehen. Bei Ausbleiben einer Einigung ergeht eine Zwischenverfügung über die Beweisvorkehr an sich und die Person der Gutachter. Werden keine zulässigen Einwendungen erhoben, kommt kein konsensorientiertes Vorgehen zum Zug. Die Rechtsprechung verlangt nicht, dass die versicherte Person explizit auf die Möglichkeit von Gegenvorschlägen hinzuweisen ist (BGE 139 V 355 f., E. 5.2.2.2. f.; Urteile des Bundesgerichts vom 7. Februar 2017, 8C_445/2016, E. 5.2, vom 6. September 2013, 9C_560/2013, E. 2.3 und vom 19. Oktober 2016, 9C_464/2016, E. 6.3.4; Bundesamt für Sozialversicherungen [BSV], Kreisschreiben über das Verfahren in der Invalidenversicherung [KSVI], Stand 1. Januar 2018, Rz. 2076/8).). 2.2.2  Die Beschwerdegegnerin beauftragte am 26. Mai 2015 die MGSG mit der Erstattung einer bidisziplinären Abklärung Orthopädie/Psychiatrie (IV-act. 114). Mit gleichem Datum orientierte sie die Beschwerdeführerin über die bidisziplinäre Untersuchung und die Namen der Gutachter (Orthopädie: Dr. I.___; Psychiatrie: Dr. J.___). Sie wies darauf hin, dass triftige Einwendungen gegen eine oder mehrere der genannten Gutachterinnen und Gutachter bis zum 5. Juni 2015 schriftlich eingereicht werden könnten. Weiter setzte sie die Beschwerdeführerin über die vorgesehenen Fragen in Kenntnis und gewährte innert gleicher Frist Gelegenheit zum Einreichen von Zusatzfragen (IV-act. 115). Die Beschwerdeführerin akzeptierte die Modalitäten der Begutachtung, indem sie sich ihr unterzog, ohne einen Vorbehalt zu äussern. Dass sie damals noch nicht rechtlich vertreten war, vermag daran schon deshalb nichts zu ändern, weil auch im Nachgang keine Einwendungen erhoben wurden, welche vorgängig in einem Konsensverfahren zu bereinigen gewesen wären. Darin unterscheidet sich der vorliegende Sachverhalt von jenem, der dem von der Beschwerdeführerin angerufenen Entscheid des Sozialversicherungsgerichts Zürich vom 13. Oktober 2015 (IV.2015.00620) zugrunde lag: Die dortige Beschwerdeführerin hatte nach Erhalt der Mitteilung über die Modalitäten der Begutachtung Einwendungen vorgebracht, weshalb eine Einigung zwingend erforderlich gewesen wäre (zitierter Entscheid, E. 2.1 und 3.3). Folglich wahrte die Beschwerdegegnerin im vorliegenden Verfahren die Partizipations- und Verfahrensrechte der Beschwerdeführerin ausreichend und erfüllte namentlich die Anforderungen von Art. 44 ATSG.</w:t>
      </w:r>
    </w:p>
    <w:p>
      <w:r>
        <w:rPr>
          <w:b/>
        </w:rPr>
        <w:t>E. 3</w:t>
      </w:r>
    </w:p>
    <w:p>
      <w:r>
        <w:t>Damit ist das Gutachten in materieller Hinsicht auf seine Beweistauglichkeit zu prüfen. 3.1  Der orthopädische Gutachter diagnostizierte eine Schmerzpersistenz nach Sacrumfraktur und Subluxation S2/3 im Oktober 2012 mit initialer Ileosacralgelenksarthrose links, eine leichte Diskushernie L4/5 ohne neurale Kompression, eine Hüftdysplasie rechts sowie Adipositas (IV-act. 123-7). Den Diagnosen mass er keine Auswirkung auf Arbeitsfähigkeit zu. Er führte aus, das Ausmass der lumbosacralen Schmerzen und der subjektiven Einschränkung der körperlichen Leistungsfähigkeit sowie der demonstrierten abnormen Untersuchungsbefunde der LWS und des Beckens könnten bei radiologisch ossär konsolidierter Sacrumfraktur und nur initialer Ileosacralgelenksarthrose sowie nur leichter Diskushernie L4/5, jeweils ohne neurale Kompression, nicht plausibilisiert werden. Auch die angegebenen Dysästhesien beider Beine könnten bei radiologisch fehlender neuraler Kompression nicht objektiviert werden. Zudem könne weder die radiologisch festgestellte Hüftdysplasie rechts noch die Subluxation S2/3 für die Beschwerden, insbesondere deren Umfang, verantwortlich gemacht werden. Erstaunlich sei auch, dass die Versicherte angeblich nur 15 Minuten sitzen könne, im Mai 2015 aber mit dem Bus nach N.___ gereist sei. Nachdem die lumbosacralen Schmerzen nur ungenügend erklärt werden könnten, resultiere aus diesen Beschwerden aus rein orthopädischer Sicht auch keine Funktionseinschränkung. Die Versicherte sei als Hilfsarbeiterin einer Kunststofffabrik spätestens seit März 2013 voll arbeitsfähig (IV-act. 123-8, 32). Dr. I.___ verweist auf den Bericht der Klinik für Orthopädische Chirurgie und Traumatologie des Bewegungsapparates, Kantonsspital St. Gallen (KSSG) vom 21. März 2013, wonach aus orthopädischer Sicht eine 100 %ige Arbeitsfähigkeit bestehe (Suva-act. 3-11 f.). Auch die Suva-Kreisärztin konnte ausschliesslich eine starke Druckdolenz im Bereich des Sacrums und im Bereich des ISG beidseits mit positiven Mennellzeichen sowie im gesamten Rückenbereich muskuläre Verspannungen objektivieren und begründete ihre Einschätzung der Arbeitsfähigkeit von einstweilen 50 % aus versicherungsmedizinischer Sicht im Wesentlichen damit, dass die Beschwerdeführerin nicht länger sitzen könne und von einem Endzustand noch nicht auszugehen sei. Sie empfahl, die vorgesehene schmerztherapeutische Behandlung abzuwarten und gegebenenfalls eine Skelettszintigraphie zu erwägen (Bericht vom 19. September 2013, IV-act. 84-30 ff.). In ihrer Stellungnahme vom 16. Januar 2014 hielt sie gestützt auf eine Skelettszintigraphie vom 5. Dezember 2013 fest, die geklagten Beschwerden seien als Folgen der Fraktur bzw. des Unfalls vom 25. Oktober 2012 nicht objektivierbar (Suva-act. 11-10). 3.2  Der psychiatrische Gutachter diagnostizierte eine rezidivierende depressive Störung mit anhaltender mittelgradiger depressiver Episode (ICD-10: F33.8), bestehend seit etwa Januar 2014, akzentuierte, ängstliche, vermeidende Persönlichkeitszüge (ICD-10: Z73.1) sowie eine anhaltende somatoforme Schmerzstörung (ICD-0: F45.4; IV-act. 123-54). Lediglich der erstgenannten Erkrankung sprach er eine Auswirkung auf die Arbeitsfähigkeit zu. Aus rein psychiatrischer Sicht könne ohne Berücksichtigung der körperlich begründbaren Beschwerden in der zuletzt ausgeübten (angestammten) Tätigkeit als Einpackerin eine 60 %ige Arbeitsfähigkeit bei vollem Stundenpensum seit etwa Januar 2014 angenommen werden. In einer leidensadaptierten Tätigkeit könne eine 70 %ige Arbeitsfähigkeit bei vollem Stundenpensum seit etwa Januar 2014 angenommen werden (IV-act. 123-59). Bei adaptierten Tätigkeiten sollte es sich um Tätigkeiten ohne erhöhte emotionale Belastung, ohne erhöhten Zeitdruck (Stressbelastung), ohne erforderliche geistige Flexibilität, ohne vermehrte Kundenkontakte und ohne überdurchschnittliche Dauerbelastung handeln (IV-act. 123-60). Mit Blick auf das strukturierte Beweisverfahren legte der psychiatrische Experte dar, aufgrund der anhaltenden mittelgradigen depressiven Episode und der anhaltenden somatoformen Schmerzstörung seien die emotionale Belastbarkeit, die geistige Flexibilität, Antrieb, Interessen, Motivation, Kontaktfähigkeit und Dauerbelastbarkeit beeinträchtigt (IV-act. 123-57 f., 59). Neben der anhaltenden somatoformen Schmerzstörung bestehe eine psychische Komorbidität, indem die Beschwerdeführerin im Zusammenhang mit der Schmerzsymptomatik und psychosozialen Problemen eine mittelgradige depressive Störung entwickelt habe. Trotz der beschriebenen psychischen Störungen liessen sich Ressourcen erheben. Die Versicherte zeige verschiedene Aktivitäten tagsüber, indem sie wiederholt mit dem Hund laufe, einkaufe, koche, sich mit den Kindern unterhalte, fernsehe, und sie habe auch Kontakt mit Bekannten und Kolleginnen. Damit bestünden zumindest gewisse Interessen und die Beschwerdeführerin zeige soziale Ressourcen mit guten familiären und sozialen Kontakten (IV-act. 123-57 f.). Ressourcenmindernd dürften sich indes die ängstlich-vermeidenden Persönlichkeitszüge auswirken (vgl. IV-act. 123-57). Die Beschwerdeführerin zeige Leidensdruck. Sie habe stationäre Behandlungen im Spital B.___ vom 15. Februar bis 7. März 2014 und in der Klinik E.___ vom 9. bis 28. April 2014 erhalten und befinde sich seit 28. März 2014 aktuell alle zwei Wochen in ambulanter psychiatrischer und psychotherapeutischer Behandlung bei Dr. G.___. Zusätzlich erhalte sie eine relativ gering dosierte antidepressive Medikation. Die Blutspiegel lägen weit unter dem therapeutischen Bereich, so dass der Verdacht auf eine mangelnde Compliance bezüglich der Medikamenteneinnahme aufkomme. Damit seien die therapeutischen Optionen nicht ausgenützt (IV-act. 123-56 f., 62). Die von der Versicherten berichteten und beklagten Beschwerden seien in sich teilweise konsistent, und es liessen sich durchaus Hinweise für eine psychogene Überlagerung der Beschwerden mit Verdeutlichungstendenz erkennen. Aus psychiatrischer Sicht könne trotz der anhaltenden mittelgradigen depressiven Episode und der anhaltenden somatoformen Schmerzstörung eine zumutbare Willensanstrengung zur Wiederaufnahme einer beruflichen Tätigkeit mit Verwertung der Arbeitsfähigkeit angenommen werden (IV-act. 123-57 f.). 3.3  Interdisziplinär berücksichtigt das Gutachten die von der Beschwerdeführerin beklagten Schmerzen aus somatischer und psychischer Perspektive. Es grenzt ab, inwieweit die Beschwerden objektivierbar sind und ermittelt die darüber hinaus gehende Beeinträchtigung in Anwendung der Indikatoren des strukturierten Beweisverfahrens. Für die bisherige Tätigkeit als Einpackerin schätzten Dr. C.___ (Arztbericht vom 24. März 2014, IV-act. 84-3 ff.) und Dr. D.___ (Palliativzentrum B.___, Arztbericht vom 29. März 2014, IV-act. 86-1 ff.) die Arbeitsfähigkeit auf 50 %. RAD-Ärztin Dr. F.___ hielt fest, eine höhergradige Einschränkung sei aufgrund der bestehenden Befunde nicht vertretbar (Stellungnahme vom 23. April 2014, IV-act. 90-2). Vor diesem Hintergrund erscheinen die im Einsatzprogramm von Juni bis November 2014 gezeigte Arbeits- bzw. Leistungsfähigkeit von zeitlich 20 % bei einer Leistung, die nicht dem ersten Arbeitsmarkt entspreche (IV-act. 112), und die von Dr. G.___ attestierte 100 %ige Arbeitsunfähigkeit aufgrund einer mittel- bis schwergradigen depressiven Störung nach zweijähriger Behandlung (Arztbericht vom 27. April 2015, IV-act. 108) nicht plausibel. Nachdem die somatischen Beschwerden nicht mehr objektivierbar sind, besteht aus somatischer Sicht nachvollziehbar keine Arbeitsunfähigkeit. Übereinstimmend mit den Berichten des Spitals B.___ und der Klinik E.___ ist der psychiatrische Gutachter von einer rezidivierenden depressiven Störung mit anhaltender mittelgradiger depressiver Episode ausgegangen, dies gestützt auf die anamnestischen Angaben und die klinischen Symptome. Die Arbeitsfähigkeitseinschätzung erfolgte insbesondere mit Hinweis auf die zu erhebenden Ressourcen (IV-act. 123-58). Es liegen keine Berichte der behandelnden Ärzte vor, welche die gutachterliche Beurteilung objektiv begründet in Frage stellen. Auf das Gutachten ist somit mit den RAD-Ärzten Dr. K.___ und Dr. L.___ (Stellungnahme vom 15./16. Februar 2016, IV-act. 127) abzustellen und von einer 70 %igen Arbeitsfähigkeit in adaptierten Tätigkeiten auszugehen.</w:t>
      </w:r>
    </w:p>
    <w:p>
      <w:r>
        <w:rPr>
          <w:b/>
        </w:rPr>
        <w:t>E. 4</w:t>
      </w:r>
    </w:p>
    <w:p>
      <w:r>
        <w:t>4.1  Für die Bemessung des Valideneinkommens ist zwar zu berücksichtigen, dass die Beschwerdeführerin möglicherweise ohne ihre Nickelallergie weiterhin zu 100 % als Montagemitarbeiterin bei der O.___ AG tätig geblieben wäre. Indes erzielte sie dort ein stark unterdurchschnittliches Einkommen von ab dem Jahr 1997 Fr. 2'510.-- monatlich (Angaben Arbeitgeberin vom 29. Oktober 1997, IV-act. 5; unter Berücksichtigung der Nominallohnentwicklung mit Indices Frauen 1997: 2130, 2014: 2673 [Bundesamt für Statistik {BFS}, Lohnentwicklung 2014, Tabelle 39] von Fr. 3'150.--). Es ist daher für die Berechnung des Valideneinkommens vom Einkommen auszugehen, welches die Beschwerdeführerin im Jahr 2011 (dem Jahr vor ihrem Unfall) nach rund 8 Jahren als Einpackerin bei der P.___ erzielte. Dieses belief sich auf Fr. 51'212.-- (einschliesslich Zulagen für Tagesschicht und Überstunden; Auszug aus dem individuellen Konto [IK], IV-act. 76; Angaben Lohnabrechnung Arbeitgeberin, IV-act. 44-8 f.). Hochgerechnet auf das Jahr 2014 (Index gemäss BFS Frauen 2011: 2604; 2014: 2673) resultiert ein Jahreseinkommen von Fr. 52'569.--. Gegenüber dem durchschnittlichen Einkommen gemäss Kompetenzniveau 1, Frauen gemäss Lohnstrukturerhebung (LSE) 2014 von Fr. 53'793.-- (vgl. Informationsstelle AHV/IV, IV 2018, Bern 2018, Anhang 2) erweist es sich nicht im für eine Parallelisierung vorausgesetzten Ausmass von 5 % als unterdurchschnittlich (BGE 135 V 297 E. 5.1 und E. 6.1.2 f.). Es liegt zudem im Bereich der Jahreseinkommen der Vorjahre (vgl. IK-Auszug 2007 bis 2010, IV-act. 76). Das massgebliche Valideneinkommen beträgt daher Fr. 52'569.--. 4.2  Für die Bemessung des Invalideneinkommens ist vom Durchschnittseinkommen gemäss LSE 2014 von Fr. 53'793.-- und einer Arbeitsfähigkeit von 70 % auszugehen, was einen Jahreslohn von Fr. 37'655.-- ergibt. 4.3  Die Beschwerdeführerin macht einen Tabellenlohnabzug geltend. 4.3.1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Bereits in der Beurteilung der medizinischen Arbeitsfähigkeit enthaltene gesundheitliche Einschränkungen dürfen nicht zusätzlich in die Bemessung des leidensbedingten Abzuges einfliessen und so zu einer doppelten Anrechnung desselben Gesichtspunktes führen (Urteil des Bundesgerichts vom 22. Januar 2015, 9C_846/2014, E. 4.1.1). 4.3.2  Die Beschwerdeführerin verfügt über die Niederlassungsbewilligung in der Schweiz (IV-act. 29). Gemäss LSE 2014 TA12 erzielten Frauen ohne Kaderfunktion (Schweizerinnen und Ausländerinnen total) ein Medianeinkommen von monatlich Fr. 5'180.--. Demgegenüber verdienten Frauen mit einer Niederlassungsbewilligung C durchschnittlich ein Medianeinkommen von Fr. 4'720.-- pro Monat. Dies entspricht zwar einem rund 9 % tieferen Einkommen. Nachdem die Beschwerdeführerin als Einpackerin während Jahren ein um lediglich rund 2 % (vgl. E. 4.1: Valideneinkommen Fr. 52'569.--, Durchschnitt Kompetenzniveau 1 Fr. 53'793.--) unterdurchschnittliches Einkommen erzielte und seit weit über 20 Jahren in der Schweiz lebt (IV-act. 3-1), ist für das Invalideneinkommen eine Lohneinbusse in der vollen Höhe des statistischen Wertes fraglich. Die festgestellte und überwiegend wahrscheinlich immer noch bestehende Allergie schränkt den Kreis zumutbarer Hilfsarbeiten etwas ein, was ebenfalls beim Tabellenlohnabzug berücksichtigt werden kann (vgl. Entscheid des Sozialversicherungsgerichts des Kantons Zürich vom 9. Januar 2017, IV.2016.00337, E. 6.7). Insgesamt ist der Beschwerdeführerin vorliegend ein Tabellenlohnabzug von 10 % zu gewähren. Das Invalideneinkommen beträgt folglich Fr. 33'890.-- (0,9 x Fr. 37'655.--). 4.4  Bei einem Valideneinkommen von Fr. 52'569.-- resultiert ein Invaliditätsgrad von 36 % ([Fr. 52'569.-- - Fr. 33'890.--]: Fr. 52'569.--). Selbst bei einem Tabellenlohnabzug von 15 % würde ein Invaliditätsgrad von lediglich 39,1 % resultieren (Fr. 52'569.-- - [0,85 x Fr. 37'655.--] : Fr. 52'569.--). Die Beschwerdeführerin hat somit keinen Rentenanspruch.</w:t>
      </w:r>
    </w:p>
    <w:p>
      <w:r>
        <w:rPr>
          <w:b/>
        </w:rPr>
        <w:t>E. 5</w:t>
      </w:r>
    </w:p>
    <w:p>
      <w:r>
        <w:t>5.1  Die Beschwerdegegnerin wies das Leistungsbegehren um berufliche Massnahmen mit Mitteilung von 7. Oktober 2016 ab und stellte der Beschwerdeführerin betreffend Rente eine spätere separate Verfügung in Aussicht (IV-act. 149). Die Beschwerdeführerin verlangte diesbezüglich zwar nicht ausdrücklich eine beschwerdefähige Verfügung, wofür im Übrigen weder Gesetzgebung noch Rechtsmittelbelehrung eine bestimmte Frist vorsehen (Art. 51 Abs. 2 ATSG; Art. 74quater Abs. 1 IVV). Mit Einwand vom 10. November 2016 (IV-act. 154) gegen den Vorbescheid vom 21. Oktober 2016, womit die Beschwerdegegnerin die beabsichtigte Abweisung des Rentenbegehrens angekündigt hatte (IV-act. 152), beantragte sie jedoch berufliche Massnahmen im Umfang der ihr verbleibenden Arbeitsfähigkeit. Die angefochtene Verfügung vom 11. November 2016 ist zwar überschrieben mit "kein Anspruch auf eine Invalidenrente", und im Dispositiv wird "das Leistungsbegehren" abgewiesen. Indes führte die Beschwerdegegnerin in der Begründung aus, berufliche Massnahmen seien geprüft worden und die Beschwerdeführerin sei in der Arbeitsvermittlung unterstützt worden. Eine passende Stelle habe nicht gefunden werden können, weshalb sie ihre Bemühungen eingestellt habe (IV-act. 159-2). Nach ihrem tatsächlichen Gehalt bildete somit auch der Anspruch auf berufliche Massnahmen Gegenstand der angefochtenen Verfügung, weshalb diesbezüglich auf die Beschwerde einzutreten ist. 5.2  Nach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Geeignet kann eine Eingliederungsmassnahme nur sein, wenn die betroffene Person - bezogen auf die jeweilige Massnahme - selber wenigstens teilweise objektiv eingliederungsfähig und subjektiv eingliederungsbereit ist (objektive und subjektive Eingliederungsfähigkeit [S. BUCHER, Eingliederungsrecht der Invalidenversicherung, Bern 2011, N 124, mit Verweisen auf die Rechtsprechung]). Die Massnahme als solche muss erforderlich und notwendig sein (BUCHER, a.a.O., N 127). 5.3  Der Eingliederungsverantwortliche stellte die Unterstützung bei der Stellensuche ein, weil ihm die Beschwerdeführerin jeweils nicht zeitnah mitgeteilt hatte, wo sie sich beworben hatte, und er so keine Gelegenheit hatte, mit den betreffenden Arbeitgebern rechtzeitig in Kontakt zu treten (Verlaufsprotokoll Eingliederungsberatung, IV-act. 147). Eine wirksame Unterstützung der Beschwerdeführerin war unter diesen Umständen nicht möglich, weshalb die Beschwerdegegnerin die Arbeitsvermittlung abschliessen durfte. Die Beschwerdeführerin erfüllt jedoch nach wie vor die Voraussetzungen für einen Anspruch auf Arbeitsvermittlung gemäss Art. 18 Abs. 1 lit. a IVG, indem ihre Stellensuche durch gesundheitliche Probleme mehrfach (Schmerzen, Nickelallergie) beeinträchtigt ist (vgl. BUCHER, a.a.O., N 829, N 843; Urteil des Bundesgerichts vom 20. Oktober 2010, 9C_839/2010, E. 2.2.3). Sie kann diesen jederzeit neu geltend machen. Der Anspruch auf Umschulung gemäss Art. 17 Abs. 1 IVG umfasst grundsätzlich lediglich die Massnahmen, welche erforderlich sind, um der versicherten Person eine gleichwertige Verdienstmöglichkeit wie vor Eintritt der Invalidität zu ermöglichen. Eine wirtschaftliche Besserstellung der versicherten Person verglichen mit ihrer ökonomischen Lage vor dem Invaliditätseintritt widerspräche dem Verhältnismässigkeitsprinzip (BGE 130 V 489 f., E. 4.2; BUCHER, a.a.O., N 729). Die Beschwerdeführerin erzielte als Einpackerin einen für Hilfsarbeiten üblichen Lohn. Sie hat daher keinen Anspruch auf eine Umschulung. Hinsichtlich des Anspruchs auf Berufsberatung (Art. 15 IVG) geht die Rechtsprechung davon aus, dass diese Massnahme im Bereich der keine Ausbildung erfordernden Arbeiten nicht erforderlich ist, soweit der versicherten Person ein ausreichend breiter Fächer an adaptierten Tätigkeiten offen steht, so dass den Problemen bei der Wahl einer geeigneten Arbeitsstelle im Rahmen der Arbeitsvermittlung begegnet werden kann (Urteile des Bundesgerichts vom 10. Februar 2011, 9C_534/2010, E. 4.3, und des Eidgenössischen Versicherungsgerichts [ab 1. Januar 2007: sozialrechtliche Abteilung des Bundesgerichts] vom 18. November 2003, I 361/03, E. 2.4). Die Beschwerdegegnerin hat somit einen Anspruch auf (weitere) berufliche Massnahmen zu Recht verneint.</w:t>
      </w:r>
    </w:p>
    <w:p>
      <w:r>
        <w:rPr>
          <w:b/>
        </w:rPr>
        <w:t>E. 6</w:t>
      </w:r>
    </w:p>
    <w:p>
      <w:r>
        <w:t>Zu prüfen bleibt das Gesuch um unentgeltliche Rechtsverbeiständung im Verwaltungsverfahren. 6.1  Gemäss Art. 29 Abs. 3 der Bundesverfassung (BV; SR 101) hat jede Person, die nicht über die erforderlichen Mittel verfügt und deren Rechtsbegehren nicht aussichtslos erscheint, Anspruch auf unentgeltliche Rechtspflege. Falls es zur Wahrung ihrer Rechte notwendig ist, hat sie ausserdem Anspruch auf unentgeltlichen Rechtsbeistand. Der gesuchstellenden Person wird im Sozialversicherungsverfahren ein unentgeltlicher Rechtsbeistand bewilligt, wo die Verhältnisse es erfordern (Art. 37 Abs. 4 ATSG). Ob eine unentgeltliche Rechtsverbeiständung sachlich notwendig ist, beurteilt sich nach den konkreten Umständen des Einzelfalls (BGE 128 I 227 E. 2.3 mit Hinweisen). Die Notwendigkeit einer anwaltlichen Vertretung im Verwaltungsverfahren wird in der neueren bundesgerichtlichen Rechtsprechung namentlich mit Blick darauf, dass die Versicherungsträger und Durchführungsorgane der einzelnen Sozialversicherungen den rechtserheblichen Sachverhalt unter Mitwirkung der Parteien nach den rechtsstaatlichen Grundsätzen der Objektivität, Neutralität und Gesetzesgebundenheit (BGE 136 V 376) zu ermitteln haben (Art. 43 ATSG), nur zurückhaltend bejaht. Die bedürftige Partei hat insbesondere Anspruch auf unentgeltliche Rechtsverbeiständung, wenn ihre Interessen in besonders schwerwiegender Weise betroffen sind und der Fall in tatsächlicher und rechtlicher Hinsicht Schwierigkeiten bietet, die den Beizug eines Rechtsvertreters oder einer Rechtsvertreterin erforderlich machen (vgl. U. KIESER, Kommentar ATSG, 3. Aufl., Zürich 2015, Art.  37 Rz 40). Es müssen sich danach schwierige rechtliche oder tatsächliche Fragen stellen, und eine Interessenwahrung durch Dritte (Verbandsvertreter, Fürsorgestellen oder andere Fach- und Vertrauensleute sozialer Institutionen) muss ausser Betracht fallen (BGE 132 V 201 E. 4.1 in fine; vgl. auch Urteil des Bundesgerichts vom 26. November 2012, 9C_878/2012, E. 3.6 und vom 22. Februar 2013, 9C_908/2012, E. 2.2, je mit Hinweis darauf, dass die IV-Stellen unter Umständen auf soziale Einrichtungen hinzuweisen haben, die fachkundige Unterstützung im Verwaltungsverfahren bieten [würden], und darauf aufmerksam zu machen haben, bei diesen ein entsprechendes Gesuch zu stellen). Insbesondere vermag nach dieser bundesgerichtlichen Rechtsprechung selbst die hohe Bedeutung medizinischer Gutachten für sich allein genommen die Notwendigkeit einer anwaltlichen Vertretung nicht zu begründen. Es bedarf vielmehr weiterer Umstände, welche die Sache als nicht (mehr) einfach und eine anwaltliche Vertretung als notwendig erscheinen lassen (Urteil des Bundesgerichts vom 14. Dezember 2017, 9C_436/2017, 9C_746/2017, E. 3.5). Von Bedeutung ist schliesslich auch die Fähigkeit der versicherten Person, sich im Verfahren zurechtzufinden (Urteil des Bundesgerichts vom 22. Februar 2013, 9C_908/2012, E. 2.2 mit weiteren Hinweisen). 6.2  Zur Begründung der Erforderlichkeit der Rechtsvertretung liess die Beschwerdeführerin vorbringen, dass das Erfordernis einer Einigung bei mono- und bidisziplinären Gutachten vielen selbst mit der Materie vertrauten Personen unklar, jedoch wesentlich sei (IV 2016/430, act. G 1). Es seien rechtsstaatliche Garantien tangiert (vgl. IV 2016/410, act. G 11-5). Die Beschwerdegegnerin verneint mit Hinweis auf den Ausnahmecharakter der unentgeltlichen Rechtsverbeiständung im Verwaltungsverfahren eine ausreichende Komplexität der Rechtsfragen (IV 2016/410, act. G 8, Ziff. 10). 6.3  In medizinischer Hinsicht stellt sich der Sachverhalt nicht als ausserordentlich kompliziert dar. Die bundesgerichtliche Rechtsprechung bejaht mit Blick auf die tangierten Garantien und Partizipationsrechte zwar einen Anspruch auf unentgeltliche Rechtsvertretung im Verwaltungsverfahren, wenn ein Verfahren zur mono- oder bidisziplinären Begutachtung an die IV-Stelle zurückgewiesen wird (Urteile vom 14. Dezember 2017, 9C_436/2017, 9C_746/2017, E. 3.6.1, und vom 28. Februar 2017, 9C_145/2016, 9C_161/2016, E. 4.2 f., e contrario; anders noch Urteil vom 6. Januar 2016, 8C_246/2015, E. 3.2.1, wonach die theoretisch mögliche Wahl einer aufgrund der konkreten Verhältnisse aus welchen Gründen auch immer ungeeigneten Begutachterstelle für die vom kantonalen Gericht angeordnete weitere psychiatrische Untersuchung bei der Beurteilung der Notwendigkeit einer anwaltlichen Vertretung des Beschwerdeführers keine Beachtung finden könne). Die Beschwerdeführerin macht indes geltend, der Anspruch auf unentgeltliche Rechtsverbeiständung sei in Anbetracht des von ihr geltend gemachten Rechts auf konsensuelle Bestimmung der Gutachtensmodalitäten bei der erstmaligen Gutachtensvergabe zu bejahen. Dies mag zwar insofern zutreffen, als vom Grundsatz einer polydisziplinären Begutachtung und damit von einer zufallsbasierten Gutachtensvergabe abgewichen wurde. Nachdem jedoch ein Anspruch auf ein Einigungsverfahren mangels erhobener Einwendungen nicht besteht (E. 2.2.2), kann der Anspruch auf unentgeltliche Rechtsverbeiständung nicht mit ihrer Notwendigkeit bei der Ausübung dieses Rechts begründet werden. Zudem war die Beschwerdeführerin im Zeitpunkt der geltend gemachten Rechtsverletzung bei der Gutachtensvergabe noch gar nicht anwaltlich vertreten; sie beauftragte erst nach Erhalt des Vorbescheides vom 21. Oktober 2016 betreffend Rente (IV-act. 152) einen Rechtsvertreter. Insofern stellt sich die Frage, ob die unentgeltliche Rechtspflege bereits im Vorfeld der Gutachtensvergabe erforderlich gewesen wäre, vorliegend gar nicht. Schliesslich stand zumindest der Eingliederungsverantwortliche in Kontakt mit der Tochter der Beschwerdeführerin (Besprechung vom 12. Mai 2015, IV-act. 120-3; Gespräch vom 20. Juli 2016, IV-act. 147-2). Es ist somit anzunehmen, dass diese die Mitteilung betreffend medizinische Untersuchung von 26. Mai 2015 (IV-act. 115) insoweit verstehen konnte, als Einwendungen bis zum 6. Juni 2015 hätten vorgebracht werden können, und dass sie bei Bedarf beispielsweise mit einem Arzt der Beschwerdeführerin hätte Rücksprache nehmen können. Das Gesuch um unentgeltliche Rechtspflege muss somit mangels Erforderlichkeit abgewiesen werden.</w:t>
      </w:r>
    </w:p>
    <w:p>
      <w:r>
        <w:rPr>
          <w:b/>
        </w:rPr>
        <w:t>E. 7</w:t>
      </w:r>
    </w:p>
    <w:p>
      <w:r>
        <w:t>7.1  Auf Grund der vorstehenden Ausführungen ist die Beschwerde gegen die Verfügung betreffend IV-Leistungen vom 11. November 2016 (IV 2016/410) abzuweisen. 7.2  Die Beschwerde gegen die Verfügung betreffend unentgeltliche Rechtsverbeiständung im Verwaltungsverfahren vom 24. November 2016 (IV 2016/430) ist ebenfalls abzuweisen. 7.3  Das Beschwerdeverfahren betreffend IV-Leistungen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ist die Gerichtsgebühr für das Verfahren IV 2016/410 in der Höhe von Fr. 600.-- aufzuerlegen. Zufolge unentgeltlicher Rechtspflege ist sie von der Bezahlung zu befreien. 7.4  Demgegenüber sind im Beschwerdeverfahren IV 2016/430 betreffend unentgeltliche Verbeiständung im Verwaltungsverfahren keine Gerichtskosten zu erheben (Art. 61 lit. a ATSG). Da es sich vorliegend nicht um eine Streitigkeit betreffend "IV-Leistungen" handelt, findet die Kostenregelung von Art. 69 Abs. 1bis IVG keine Anwendung (vgl. Entscheid des Versicherungsgerichts vom 12. Januar 2012, IV 2010/270, E. 6.4). 7.5  Der Staat bezahlt zufolge unentgeltlicher Rechtsverbeiständung in den Verfahren IV 2016/410 und IV 2016/430 die Kosten der Rechtsvertretung der Beschwerdeführerin. Die Parteientschädigung wird vom Versicherungsgericht festgesetzt und ohne Rücksicht auf den Streitwert nach der Bedeutung der Streitsache und nach der Schwierigkeit des Prozesses bemessen (Art. 61 lit. g ATSG). Der Rechtsvertreter der Beschwerdeführerin hat keine Honorarnote eingereicht. In der Verwaltungsrechtspflege beträgt das Honorar vor Verwaltungsgericht, Verwaltungsrekurskommission und Versicherungsgericht pauschal Fr. 1'000.-- bis Fr. 12'000.-- (Art. 22 Abs. 1 lit. b der Honorarordnung für Rechtsanwälte und Rechtsagenten [sGS 963.75]). Im Verfahren betreffend IV-Leistungen (IV 2016/410) erscheint eine pauschale Parteientschädigung von Fr. 3'500.-- angemessen. Im Verfahren betreffend unentgeltliche Rechtsverbeiständung im Verwaltungsverfahren (IV 2016/430) erscheint mit Blick auf die Anforderungen und die Komplexität der Streitsache eine pauschale Parteientschädigung von Fr. 1'000.-- angemessen. Die gesamte Entschädigung von Fr. 4'500.-- ist um einen Fünftel zu kürzen (Art. 31 Abs. 3 des Anwaltsgesetzes [sGS 963.70]). Somit hat der Staat den Rechtsvertreter der Beschwerdeführerin pauschal (BGE 125 V 201) mit Fr. 3'600.-- (inkl. Barauslagen und Mehrwertsteuer) zu entschädigen. 7.6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Im Verfahren IV 2016/410 betreffend IV-Leistungen wird die Beschwerde abgewiesen. 2. Im Verfahren IV 2016/430 betreffend unentgeltliche Rechtsverbeiständung im Verwaltungsverfahren wird die Beschwerde abgewiesen. 3. Im Verfahren IV 2016/410 wird die Beschwerdeführerin zufolge unentgeltlicher Rechtspflege von der Bezahlung der Gerichtsgebühr in der Höhe von Fr. 600.-- befreit. 4. Im Verfahren IV 2016/430 werden keine Gerichtskosten erhoben. 5. Für die beiden Verfahren IV 2016/410 und IV 2016/430 entschädigt der Staat den Rechtsvertreter der Beschwerdeführerin zufolge unentgeltlicher Rechtsverbeiständung mit insgesamt Fr. 3'600.--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